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FD8B" w14:textId="018B1FCB" w:rsidR="00C63F64" w:rsidRDefault="00F6777E" w:rsidP="00136444">
      <w:pPr>
        <w:tabs>
          <w:tab w:val="center" w:pos="4890"/>
        </w:tabs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A2A507" wp14:editId="6D75309D">
            <wp:simplePos x="0" y="0"/>
            <wp:positionH relativeFrom="column">
              <wp:posOffset>5342084</wp:posOffset>
            </wp:positionH>
            <wp:positionV relativeFrom="paragraph">
              <wp:posOffset>-231140</wp:posOffset>
            </wp:positionV>
            <wp:extent cx="1063625" cy="946150"/>
            <wp:effectExtent l="0" t="0" r="3175" b="6350"/>
            <wp:wrapNone/>
            <wp:docPr id="20353084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B0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D83C2F" wp14:editId="767F718D">
            <wp:simplePos x="0" y="0"/>
            <wp:positionH relativeFrom="page">
              <wp:posOffset>302421</wp:posOffset>
            </wp:positionH>
            <wp:positionV relativeFrom="paragraph">
              <wp:posOffset>-269240</wp:posOffset>
            </wp:positionV>
            <wp:extent cx="5505450" cy="1099164"/>
            <wp:effectExtent l="0" t="0" r="0" b="6350"/>
            <wp:wrapNone/>
            <wp:docPr id="32195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18458" w14:textId="77777777" w:rsidR="00136444" w:rsidRDefault="00136444" w:rsidP="00136444">
      <w:pPr>
        <w:tabs>
          <w:tab w:val="center" w:pos="4890"/>
        </w:tabs>
        <w:rPr>
          <w:b/>
          <w:bCs/>
          <w:sz w:val="20"/>
          <w:szCs w:val="20"/>
        </w:rPr>
      </w:pPr>
    </w:p>
    <w:p w14:paraId="36727C11" w14:textId="0C0E0562" w:rsidR="009E52FE" w:rsidRDefault="009E52FE" w:rsidP="009E52FE">
      <w:pPr>
        <w:jc w:val="right"/>
        <w:rPr>
          <w:b/>
          <w:bCs/>
          <w:sz w:val="20"/>
          <w:szCs w:val="20"/>
        </w:rPr>
      </w:pPr>
    </w:p>
    <w:p w14:paraId="2FF7A52E" w14:textId="77777777" w:rsidR="00136444" w:rsidRDefault="00136444" w:rsidP="00136444">
      <w:pPr>
        <w:tabs>
          <w:tab w:val="center" w:pos="4890"/>
        </w:tabs>
        <w:jc w:val="center"/>
        <w:rPr>
          <w:rStyle w:val="af9"/>
          <w:rFonts w:asciiTheme="minorEastAsia" w:eastAsiaTheme="minorEastAsia" w:hAnsiTheme="minorEastAsia" w:cs="Segoe UI"/>
          <w:color w:val="0F1115"/>
          <w:sz w:val="28"/>
          <w:szCs w:val="28"/>
        </w:rPr>
      </w:pPr>
    </w:p>
    <w:p w14:paraId="64D9398D" w14:textId="287F1FE7" w:rsidR="00136444" w:rsidRPr="00150309" w:rsidRDefault="00136444" w:rsidP="00136444">
      <w:pPr>
        <w:tabs>
          <w:tab w:val="center" w:pos="4890"/>
        </w:tabs>
        <w:jc w:val="center"/>
        <w:rPr>
          <w:rFonts w:eastAsiaTheme="minorEastAsia"/>
          <w:b/>
          <w:bCs/>
          <w:sz w:val="20"/>
          <w:szCs w:val="20"/>
          <w:lang w:eastAsia="zh-TW"/>
        </w:rPr>
      </w:pPr>
      <w:r>
        <w:rPr>
          <w:rStyle w:val="af9"/>
          <w:rFonts w:asciiTheme="minorEastAsia" w:eastAsiaTheme="minorEastAsia" w:hAnsiTheme="minorEastAsia" w:cs="Segoe UI"/>
          <w:color w:val="0F1115"/>
          <w:sz w:val="28"/>
          <w:szCs w:val="28"/>
          <w:lang w:eastAsia="zh-TW"/>
        </w:rPr>
        <w:t>中國香港曲棍球總會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  <w:sz w:val="28"/>
          <w:szCs w:val="28"/>
          <w:lang w:eastAsia="zh-TW"/>
        </w:rPr>
        <w:t>青年</w:t>
      </w:r>
      <w:r>
        <w:rPr>
          <w:rStyle w:val="af9"/>
          <w:rFonts w:asciiTheme="minorEastAsia" w:eastAsiaTheme="minorEastAsia" w:hAnsiTheme="minorEastAsia" w:cs="細明體" w:hint="eastAsia"/>
          <w:color w:val="0F1115"/>
          <w:sz w:val="28"/>
          <w:szCs w:val="28"/>
          <w:lang w:eastAsia="zh-TW"/>
        </w:rPr>
        <w:t>聯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  <w:sz w:val="28"/>
          <w:szCs w:val="28"/>
          <w:lang w:eastAsia="zh-TW"/>
        </w:rPr>
        <w:t>賽</w:t>
      </w:r>
      <w:r w:rsidRPr="00F76674">
        <w:rPr>
          <w:rStyle w:val="af9"/>
          <w:rFonts w:asciiTheme="minorEastAsia" w:eastAsiaTheme="minorEastAsia" w:hAnsiTheme="minorEastAsia" w:cs="Segoe UI"/>
          <w:color w:val="0F1115"/>
          <w:sz w:val="28"/>
          <w:szCs w:val="28"/>
          <w:lang w:eastAsia="zh-TW"/>
        </w:rPr>
        <w:t xml:space="preserve"> 2025-2026 </w:t>
      </w:r>
      <w:proofErr w:type="gramStart"/>
      <w:r w:rsidRPr="00F76674">
        <w:rPr>
          <w:rStyle w:val="af9"/>
          <w:rFonts w:asciiTheme="minorEastAsia" w:eastAsiaTheme="minorEastAsia" w:hAnsiTheme="minorEastAsia" w:cs="Segoe UI"/>
          <w:color w:val="0F1115"/>
          <w:sz w:val="28"/>
          <w:szCs w:val="28"/>
          <w:lang w:eastAsia="zh-TW"/>
        </w:rPr>
        <w:t>—</w:t>
      </w:r>
      <w:proofErr w:type="gramEnd"/>
      <w:r w:rsidRPr="00F76674">
        <w:rPr>
          <w:rStyle w:val="af9"/>
          <w:rFonts w:asciiTheme="minorEastAsia" w:eastAsiaTheme="minorEastAsia" w:hAnsiTheme="minorEastAsia" w:cs="Segoe UI"/>
          <w:color w:val="0F1115"/>
          <w:sz w:val="28"/>
          <w:szCs w:val="28"/>
          <w:lang w:eastAsia="zh-TW"/>
        </w:rPr>
        <w:t xml:space="preserve">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  <w:sz w:val="28"/>
          <w:szCs w:val="28"/>
          <w:lang w:eastAsia="zh-TW"/>
        </w:rPr>
        <w:t>學校組別</w:t>
      </w:r>
    </w:p>
    <w:p w14:paraId="7C81D260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I.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賽事概覽</w:t>
      </w:r>
    </w:p>
    <w:p w14:paraId="1B70AC41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="120" w:beforeAutospacing="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球隊（學校隊伍）將組織為男子或女子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7 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人制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隊伍，在約半個標準大小的場地上比賽。比賽開始時，每隊至少需要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5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名球員。</w:t>
      </w:r>
    </w:p>
    <w:p w14:paraId="4C8D0B5C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="240" w:beforeAutospacing="0" w:after="24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為了確保靈活性並最大化比賽時間，每支球隊每場比賽最多可註冊十二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(12)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名球員。完整細節，請參閱</w:t>
      </w:r>
      <w:r w:rsidRPr="00F76674">
        <w:rPr>
          <w:rFonts w:asciiTheme="minorEastAsia" w:eastAsiaTheme="minorEastAsia" w:hAnsiTheme="minorEastAsia" w:cs="Segoe UI"/>
          <w:color w:val="0F1115"/>
        </w:rPr>
        <w:t> 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第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 II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項：比賽規則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。</w:t>
      </w:r>
    </w:p>
    <w:p w14:paraId="59F9A8C7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="120" w:beforeAutospacing="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比賽形式將根據參賽隊伍總數決定。賽事將以單循環賽，或以循環賽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小組賽加淘汰賽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的方式進行。比賽將由</w:t>
      </w:r>
      <w:r w:rsidRPr="00F76674">
        <w:rPr>
          <w:rFonts w:asciiTheme="minorEastAsia" w:eastAsiaTheme="minorEastAsia" w:hAnsiTheme="minorEastAsia" w:cs="Segoe UI"/>
          <w:color w:val="0F1115"/>
        </w:rPr>
        <w:t> 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兩個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 10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分鐘的半場，中間休息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 3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</w:t>
      </w:r>
      <w:r w:rsidRPr="00F76674">
        <w:rPr>
          <w:rFonts w:asciiTheme="minorEastAsia" w:eastAsiaTheme="minorEastAsia" w:hAnsiTheme="minorEastAsia" w:cs="Segoe UI"/>
          <w:color w:val="0F1115"/>
        </w:rPr>
        <w:t> 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組成，或者，採用單一</w:t>
      </w:r>
      <w:r w:rsidRPr="00F76674">
        <w:rPr>
          <w:rFonts w:asciiTheme="minorEastAsia" w:eastAsiaTheme="minorEastAsia" w:hAnsiTheme="minorEastAsia" w:cs="Segoe UI"/>
          <w:color w:val="0F1115"/>
        </w:rPr>
        <w:t> 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15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分鐘不間斷的賽制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。</w:t>
      </w:r>
    </w:p>
    <w:p w14:paraId="59CCCAC2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="120" w:beforeAutospacing="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本賽事</w:t>
      </w:r>
      <w:r>
        <w:rPr>
          <w:rFonts w:asciiTheme="minorEastAsia" w:eastAsiaTheme="minorEastAsia" w:hAnsiTheme="minorEastAsia" w:cs="細明體" w:hint="eastAsia"/>
          <w:color w:val="0F1115"/>
        </w:rPr>
        <w:t>的主要目的是為球員提供最多的比賽經驗。所有比賽將遵循國際曲棍球協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會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(FIH)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指引及</w:t>
      </w:r>
      <w:r>
        <w:rPr>
          <w:rFonts w:asciiTheme="minorEastAsia" w:eastAsiaTheme="minorEastAsia" w:hAnsiTheme="minorEastAsia" w:cs="Segoe UI"/>
          <w:color w:val="0F1115"/>
        </w:rPr>
        <w:t xml:space="preserve"> 中國香港曲棍球總會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規則，並進行微調以確保球員安全。</w:t>
      </w:r>
    </w:p>
    <w:p w14:paraId="208B66F8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II.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比賽規則</w:t>
      </w:r>
    </w:p>
    <w:p w14:paraId="1EFA008D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="0" w:beforeAutospacing="0" w:after="0" w:afterAutospacing="0" w:line="0" w:lineRule="atLeast"/>
        <w:ind w:leftChars="27" w:left="419"/>
        <w:jc w:val="both"/>
        <w:rPr>
          <w:rFonts w:asciiTheme="minorEastAsia" w:eastAsiaTheme="minorEastAsia" w:hAnsiTheme="minorEastAsia" w:cs="Segoe UI"/>
          <w:color w:val="0F1115"/>
        </w:rPr>
      </w:pPr>
      <w:r>
        <w:rPr>
          <w:rStyle w:val="af9"/>
          <w:rFonts w:asciiTheme="minorEastAsia" w:eastAsiaTheme="minorEastAsia" w:hAnsiTheme="minorEastAsia" w:cs="細明體" w:hint="eastAsia"/>
          <w:color w:val="0F1115"/>
        </w:rPr>
        <w:t>比賽時間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：一場比賽由兩個各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10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分鐘的半場組成，中間休息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3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分鐘，或是一個連續的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15 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分鐘賽段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。</w:t>
      </w:r>
    </w:p>
    <w:p w14:paraId="77F3ED7F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Lines="50" w:before="120" w:beforeAutospacing="0" w:afterLines="50" w:after="120" w:afterAutospacing="0" w:line="0" w:lineRule="atLeast"/>
        <w:ind w:leftChars="28" w:left="419" w:hanging="357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球隊組成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：比賽在兩支全女子或全男子球隊之間進行。每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隊在場上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任何時間必須至少有五名，且不得超過七名球員。</w:t>
      </w:r>
    </w:p>
    <w:p w14:paraId="63EB1DE4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Lines="50" w:before="120" w:beforeAutospacing="0" w:afterLines="50" w:after="120" w:afterAutospacing="0" w:line="0" w:lineRule="atLeast"/>
        <w:ind w:leftChars="28" w:left="419" w:hanging="357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守門員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：雖非強制，但鼓勵球隊派出一名守門員。守門員不計入七名球員的限制內，意味著如果使用守</w:t>
      </w:r>
      <w:r>
        <w:rPr>
          <w:rFonts w:asciiTheme="minorEastAsia" w:eastAsiaTheme="minorEastAsia" w:hAnsiTheme="minorEastAsia" w:cs="細明體" w:hint="eastAsia"/>
          <w:color w:val="0F1115"/>
        </w:rPr>
        <w:t>門員，一支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球隊在場上</w:t>
      </w:r>
      <w:proofErr w:type="gramEnd"/>
      <w:r>
        <w:rPr>
          <w:rFonts w:asciiTheme="minorEastAsia" w:eastAsiaTheme="minorEastAsia" w:hAnsiTheme="minorEastAsia" w:cs="細明體" w:hint="eastAsia"/>
          <w:color w:val="0F1115"/>
        </w:rPr>
        <w:t>最多可有八名球員。為安全起見，守門員必須穿上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完整的防護裝備。</w:t>
      </w:r>
    </w:p>
    <w:p w14:paraId="4DE69E4D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="0" w:beforeAutospacing="0" w:after="0" w:afterAutospacing="0" w:line="0" w:lineRule="atLeast"/>
        <w:ind w:leftChars="27" w:left="419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得分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：當攻擊球員從其攻擊區域內（定義為距離球門線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10 </w:t>
      </w:r>
      <w:r>
        <w:rPr>
          <w:rFonts w:asciiTheme="minorEastAsia" w:eastAsiaTheme="minorEastAsia" w:hAnsiTheme="minorEastAsia" w:cs="細明體" w:hint="eastAsia"/>
          <w:color w:val="0F1115"/>
        </w:rPr>
        <w:t>米處）擊球，並當球完全越過球門線並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低於橫楣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下方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時，即為得分。</w:t>
      </w:r>
    </w:p>
    <w:p w14:paraId="2353CE16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Lines="50" w:before="120" w:beforeAutospacing="0" w:afterLines="50" w:after="120" w:afterAutospacing="0" w:line="0" w:lineRule="atLeast"/>
        <w:ind w:leftChars="28" w:left="419" w:hanging="357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擊球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允許推球</w:t>
      </w:r>
      <w:proofErr w:type="gramEnd"/>
      <w:r>
        <w:rPr>
          <w:rFonts w:asciiTheme="minorEastAsia" w:eastAsiaTheme="minorEastAsia" w:hAnsiTheme="minorEastAsia" w:cs="細明體" w:hint="eastAsia"/>
          <w:color w:val="0F1115"/>
        </w:rPr>
        <w:t>(push)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或削球</w:t>
      </w:r>
      <w:r>
        <w:rPr>
          <w:rFonts w:asciiTheme="minorEastAsia" w:eastAsiaTheme="minorEastAsia" w:hAnsiTheme="minorEastAsia" w:cs="細明體" w:hint="eastAsia"/>
          <w:color w:val="0F1115"/>
        </w:rPr>
        <w:t>(slap)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。允許擊球及將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球挑離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地面</w:t>
      </w:r>
      <w:r>
        <w:rPr>
          <w:rFonts w:asciiTheme="minorEastAsia" w:eastAsiaTheme="minorEastAsia" w:hAnsiTheme="minorEastAsia" w:cs="細明體" w:hint="eastAsia"/>
          <w:color w:val="0F1115"/>
        </w:rPr>
        <w:t>(lifting)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高於膝蓋，前提是裁判不認為其動作危險。</w:t>
      </w:r>
    </w:p>
    <w:p w14:paraId="6115DADC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="0" w:beforeAutospacing="0" w:after="0" w:afterAutospacing="0" w:line="0" w:lineRule="atLeast"/>
        <w:ind w:leftChars="27" w:left="419"/>
        <w:jc w:val="both"/>
        <w:rPr>
          <w:rFonts w:asciiTheme="minorEastAsia" w:eastAsiaTheme="minorEastAsia" w:hAnsiTheme="minorEastAsia" w:cs="Segoe UI"/>
          <w:color w:val="0F1115"/>
        </w:rPr>
      </w:pPr>
      <w:r>
        <w:rPr>
          <w:rStyle w:val="af9"/>
          <w:rFonts w:asciiTheme="minorEastAsia" w:eastAsiaTheme="minorEastAsia" w:hAnsiTheme="minorEastAsia" w:cs="細明體" w:hint="eastAsia"/>
          <w:color w:val="0F1115"/>
        </w:rPr>
        <w:t>重新開始程序（自由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球、中場開球及邊線球）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：</w:t>
      </w:r>
    </w:p>
    <w:p w14:paraId="1E7A24F5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="0" w:afterAutospacing="0" w:line="0" w:lineRule="atLeast"/>
        <w:ind w:leftChars="177" w:left="814" w:hangingChars="177" w:hanging="425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6.1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球必須靜止。</w:t>
      </w:r>
    </w:p>
    <w:p w14:paraId="4EE88838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="0" w:afterAutospacing="0" w:line="0" w:lineRule="atLeast"/>
        <w:ind w:leftChars="177" w:left="814" w:hangingChars="177" w:hanging="425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6.2 </w:t>
      </w:r>
      <w:r>
        <w:rPr>
          <w:rFonts w:asciiTheme="minorEastAsia" w:eastAsiaTheme="minorEastAsia" w:hAnsiTheme="minorEastAsia" w:cs="細明體" w:hint="eastAsia"/>
          <w:color w:val="0F1115"/>
        </w:rPr>
        <w:t>除開球球員外，所有其他球員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必須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離球至少</w:t>
      </w:r>
      <w:proofErr w:type="gramEnd"/>
      <w:r w:rsidRPr="00F76674">
        <w:rPr>
          <w:rFonts w:asciiTheme="minorEastAsia" w:eastAsiaTheme="minorEastAsia" w:hAnsiTheme="minorEastAsia" w:cs="Segoe UI"/>
          <w:color w:val="0F1115"/>
        </w:rPr>
        <w:t xml:space="preserve"> 4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米。</w:t>
      </w:r>
    </w:p>
    <w:p w14:paraId="49BEB58B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Lines="50" w:before="120" w:beforeAutospacing="0" w:afterLines="50" w:after="120" w:afterAutospacing="0" w:line="0" w:lineRule="atLeast"/>
        <w:ind w:leftChars="28" w:left="419" w:hanging="357"/>
        <w:jc w:val="both"/>
        <w:rPr>
          <w:rFonts w:asciiTheme="minorEastAsia" w:eastAsiaTheme="minorEastAsia" w:hAnsiTheme="minorEastAsia" w:cs="Segoe UI"/>
          <w:color w:val="0F1115"/>
        </w:rPr>
      </w:pPr>
      <w:r>
        <w:rPr>
          <w:rFonts w:asciiTheme="minorEastAsia" w:eastAsiaTheme="minorEastAsia" w:hAnsiTheme="minorEastAsia" w:cs="細明體" w:hint="eastAsia"/>
          <w:color w:val="0F1115"/>
        </w:rPr>
        <w:t>比賽將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不設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短角球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或點球。</w:t>
      </w:r>
    </w:p>
    <w:p w14:paraId="3447703C" w14:textId="77777777" w:rsidR="00136444" w:rsidRPr="00F76674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</w:tabs>
        <w:adjustRightInd w:val="0"/>
        <w:snapToGrid w:val="0"/>
        <w:spacing w:before="0" w:beforeAutospacing="0" w:after="0" w:afterAutospacing="0" w:line="0" w:lineRule="atLeast"/>
        <w:ind w:leftChars="27" w:left="419"/>
        <w:jc w:val="both"/>
        <w:rPr>
          <w:rFonts w:asciiTheme="minorEastAsia" w:eastAsiaTheme="minorEastAsia" w:hAnsiTheme="minorEastAsia" w:cs="Segoe UI"/>
          <w:color w:val="0F1115"/>
        </w:rPr>
      </w:pPr>
      <w:r>
        <w:rPr>
          <w:rStyle w:val="af9"/>
          <w:rFonts w:asciiTheme="minorEastAsia" w:eastAsiaTheme="minorEastAsia" w:hAnsiTheme="minorEastAsia" w:cs="細明體" w:hint="eastAsia"/>
          <w:color w:val="0F1115"/>
        </w:rPr>
        <w:t>判處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挑戰</w:t>
      </w:r>
      <w:r>
        <w:rPr>
          <w:rFonts w:asciiTheme="minorEastAsia" w:eastAsiaTheme="minorEastAsia" w:hAnsiTheme="minorEastAsia" w:cs="細明體" w:hint="eastAsia"/>
          <w:color w:val="0F1115"/>
        </w:rPr>
        <w:t>（與守門員一對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一</w:t>
      </w:r>
      <w:proofErr w:type="gramEnd"/>
      <w:r>
        <w:rPr>
          <w:rFonts w:asciiTheme="minorEastAsia" w:eastAsiaTheme="minorEastAsia" w:hAnsiTheme="minorEastAsia" w:cs="細明體" w:hint="eastAsia"/>
          <w:color w:val="0F1115"/>
        </w:rPr>
        <w:t>的機會）：將在以下情況判處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挑戰：</w:t>
      </w:r>
    </w:p>
    <w:p w14:paraId="33A9865D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="0" w:afterAutospacing="0" w:line="0" w:lineRule="atLeast"/>
        <w:ind w:leftChars="177" w:left="814" w:hangingChars="177" w:hanging="425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8.1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阻止了一個必定進球的動作（例如，在球門線上用腳擋球）。</w:t>
      </w:r>
    </w:p>
    <w:p w14:paraId="09946C17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="0" w:afterAutospacing="0" w:line="0" w:lineRule="atLeast"/>
        <w:ind w:leftChars="177" w:left="814" w:hangingChars="177" w:hanging="425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8.2 </w:t>
      </w:r>
      <w:r>
        <w:rPr>
          <w:rFonts w:asciiTheme="minorEastAsia" w:eastAsiaTheme="minorEastAsia" w:hAnsiTheme="minorEastAsia" w:cs="細明體" w:hint="eastAsia"/>
          <w:color w:val="0F1115"/>
        </w:rPr>
        <w:t>防守球員在己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方的攻擊半場內故意犯規。</w:t>
      </w:r>
    </w:p>
    <w:p w14:paraId="1E035AB7" w14:textId="77777777" w:rsidR="00136444" w:rsidRPr="00B41B6F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ind w:left="0" w:hanging="357"/>
        <w:jc w:val="both"/>
        <w:rPr>
          <w:rStyle w:val="af9"/>
          <w:rFonts w:asciiTheme="minorEastAsia" w:eastAsiaTheme="minorEastAsia" w:hAnsiTheme="minorEastAsia" w:cs="Segoe UI"/>
          <w:b w:val="0"/>
          <w:bCs w:val="0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執行挑戰程序</w:t>
      </w:r>
    </w:p>
    <w:p w14:paraId="01BBE657" w14:textId="77777777" w:rsidR="00136444" w:rsidRPr="00B41B6F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lastRenderedPageBreak/>
        <w:t xml:space="preserve">a.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除挑戰者及守門員外，所有其他球員必須位於中線以外。</w:t>
      </w:r>
    </w:p>
    <w:p w14:paraId="20805280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b.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球將放在指定的射門線（每邊球門前標示的虛線）上。</w:t>
      </w:r>
    </w:p>
    <w:p w14:paraId="75E9C97F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c.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挑戰者必須從球後方開始。</w:t>
      </w:r>
    </w:p>
    <w:p w14:paraId="24E40B8B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ind w:left="283" w:hangingChars="118" w:hanging="283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d.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守門員必須雙腳站在球門線上或球門線後方，在球進入比賽狀態前不得離開。</w:t>
      </w:r>
    </w:p>
    <w:p w14:paraId="5B9B9774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e.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當挑戰者及守門員均正確就位後，裁判將鳴哨示意開始。</w:t>
      </w:r>
    </w:p>
    <w:p w14:paraId="7B0E33AD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f.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必須在鳴哨後才能開始。挑戰者或守門員均不得無故延遲開始。</w:t>
      </w:r>
    </w:p>
    <w:p w14:paraId="6AE15B52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g.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挑戰者可移動球，但必須待球移動至少</w:t>
      </w:r>
      <w:r w:rsidRPr="00F76674">
        <w:rPr>
          <w:rFonts w:asciiTheme="minorEastAsia" w:eastAsiaTheme="minorEastAsia" w:hAnsiTheme="minorEastAsia" w:cs="Segoe UI"/>
          <w:color w:val="0F1115"/>
        </w:rPr>
        <w:t xml:space="preserve"> 4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米後才能嘗試射門。</w:t>
      </w:r>
    </w:p>
    <w:p w14:paraId="62795325" w14:textId="77777777" w:rsidR="0013644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h.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當挑戰者觸球後，守門員即可移動。</w:t>
      </w:r>
    </w:p>
    <w:p w14:paraId="6377A41B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proofErr w:type="spellStart"/>
      <w:r w:rsidRPr="00F76674">
        <w:rPr>
          <w:rFonts w:asciiTheme="minorEastAsia" w:eastAsiaTheme="minorEastAsia" w:hAnsiTheme="minorEastAsia" w:cs="Segoe UI"/>
          <w:color w:val="0F1115"/>
        </w:rPr>
        <w:t>i</w:t>
      </w:r>
      <w:proofErr w:type="spellEnd"/>
      <w:r w:rsidRPr="00F76674">
        <w:rPr>
          <w:rFonts w:asciiTheme="minorEastAsia" w:eastAsiaTheme="minorEastAsia" w:hAnsiTheme="minorEastAsia" w:cs="Segoe UI"/>
          <w:color w:val="0F1115"/>
        </w:rPr>
        <w:t xml:space="preserve">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挑戰者觸球後，比賽正常恢復，所有其他球員可從中線外重新進入比賽區域。</w:t>
      </w:r>
    </w:p>
    <w:p w14:paraId="7FDF8EB3" w14:textId="77777777" w:rsidR="00136444" w:rsidRPr="00B41B6F" w:rsidRDefault="00136444" w:rsidP="00136444">
      <w:pPr>
        <w:pStyle w:val="ds-markdown-paragraph"/>
        <w:numPr>
          <w:ilvl w:val="0"/>
          <w:numId w:val="6"/>
        </w:numPr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ind w:left="0" w:hanging="357"/>
        <w:jc w:val="both"/>
        <w:rPr>
          <w:rStyle w:val="af9"/>
          <w:rFonts w:asciiTheme="minorEastAsia" w:eastAsiaTheme="minorEastAsia" w:hAnsiTheme="minorEastAsia" w:cs="Segoe UI"/>
          <w:b w:val="0"/>
          <w:bCs w:val="0"/>
          <w:color w:val="0F1115"/>
        </w:rPr>
      </w:pP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個人處罰</w:t>
      </w:r>
    </w:p>
    <w:p w14:paraId="3E7262A3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napToGri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a.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對於任何犯規，犯規球員可能會受到以下其中一項制裁：</w:t>
      </w:r>
    </w:p>
    <w:p w14:paraId="453ED990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ind w:leftChars="119" w:left="543" w:hangingChars="117" w:hanging="281"/>
        <w:jc w:val="both"/>
        <w:rPr>
          <w:rFonts w:asciiTheme="minorEastAsia" w:eastAsiaTheme="minorEastAsia" w:hAnsiTheme="minorEastAsia" w:cs="細明體"/>
          <w:color w:val="0F1115"/>
        </w:rPr>
      </w:pPr>
      <w:proofErr w:type="spellStart"/>
      <w:r w:rsidRPr="00F76674">
        <w:rPr>
          <w:rFonts w:asciiTheme="minorEastAsia" w:eastAsiaTheme="minorEastAsia" w:hAnsiTheme="minorEastAsia" w:cs="Segoe UI"/>
          <w:color w:val="0F1115"/>
        </w:rPr>
        <w:t>i</w:t>
      </w:r>
      <w:proofErr w:type="spellEnd"/>
      <w:r w:rsidRPr="00F76674">
        <w:rPr>
          <w:rFonts w:asciiTheme="minorEastAsia" w:eastAsiaTheme="minorEastAsia" w:hAnsiTheme="minorEastAsia" w:cs="Segoe UI"/>
          <w:color w:val="0F1115"/>
        </w:rPr>
        <w:t>) </w:t>
      </w:r>
      <w:r>
        <w:rPr>
          <w:rFonts w:asciiTheme="minorEastAsia" w:eastAsiaTheme="minorEastAsia" w:hAnsiTheme="minorEastAsia" w:cs="Segoe UI" w:hint="eastAsia"/>
          <w:color w:val="0F1115"/>
        </w:rPr>
        <w:tab/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警告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（由裁判口頭指示）。</w:t>
      </w:r>
    </w:p>
    <w:p w14:paraId="172D34B1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ind w:leftChars="119" w:left="543" w:hangingChars="117" w:hanging="281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>ii)</w:t>
      </w:r>
      <w:r>
        <w:rPr>
          <w:rFonts w:asciiTheme="minorEastAsia" w:eastAsiaTheme="minorEastAsia" w:hAnsiTheme="minorEastAsia" w:cs="Segoe UI" w:hint="eastAsia"/>
          <w:color w:val="0F1115"/>
        </w:rPr>
        <w:tab/>
      </w:r>
      <w:r w:rsidRPr="00F76674">
        <w:rPr>
          <w:rFonts w:asciiTheme="minorEastAsia" w:eastAsiaTheme="minorEastAsia" w:hAnsiTheme="minorEastAsia" w:cs="Segoe UI"/>
          <w:color w:val="0F1115"/>
        </w:rPr>
        <w:t> 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暫時停賽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 1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比賽時間（以綠牌表示）。被暫時停賽的球員不可被替換。</w:t>
      </w:r>
    </w:p>
    <w:p w14:paraId="3C4B39CD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ind w:leftChars="118" w:left="543" w:hangingChars="118" w:hanging="283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>iii) </w:t>
      </w:r>
      <w:r>
        <w:rPr>
          <w:rFonts w:asciiTheme="minorEastAsia" w:eastAsiaTheme="minorEastAsia" w:hAnsiTheme="minorEastAsia" w:cs="Segoe UI" w:hint="eastAsia"/>
          <w:color w:val="0F1115"/>
        </w:rPr>
        <w:tab/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暫時停賽至少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 2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</w:t>
      </w:r>
      <w:r>
        <w:rPr>
          <w:rFonts w:asciiTheme="minorEastAsia" w:eastAsiaTheme="minorEastAsia" w:hAnsiTheme="minorEastAsia" w:cs="細明體" w:hint="eastAsia"/>
          <w:color w:val="0F1115"/>
        </w:rPr>
        <w:t>比賽時間（以黃牌表示）。對於重複犯規或嚴重的身體犯規，可判處</w:t>
      </w: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4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分鐘停賽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（同樣以黃牌表示）。在黃牌所示的任何暫時停賽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期間，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犯規球隊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必須在場上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減少一名球員比賽。</w:t>
      </w:r>
    </w:p>
    <w:p w14:paraId="2CF53C99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ind w:leftChars="119" w:left="543" w:hangingChars="117" w:hanging="281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>iv) </w:t>
      </w:r>
      <w:r>
        <w:rPr>
          <w:rFonts w:asciiTheme="minorEastAsia" w:eastAsiaTheme="minorEastAsia" w:hAnsiTheme="minorEastAsia" w:cs="Segoe UI" w:hint="eastAsia"/>
          <w:color w:val="0F1115"/>
        </w:rPr>
        <w:tab/>
      </w:r>
      <w:r w:rsidRPr="00B41B6F">
        <w:rPr>
          <w:rFonts w:asciiTheme="minorEastAsia" w:eastAsiaTheme="minorEastAsia" w:hAnsiTheme="minorEastAsia" w:cs="細明體" w:hint="eastAsia"/>
          <w:b/>
          <w:color w:val="0F1115"/>
        </w:rPr>
        <w:t>驅逐離場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（以紅牌表示）。在比賽剩餘時間內，犯規球隊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必須在</w:t>
      </w:r>
      <w:r>
        <w:rPr>
          <w:rFonts w:asciiTheme="minorEastAsia" w:eastAsiaTheme="minorEastAsia" w:hAnsiTheme="minorEastAsia" w:cs="細明體" w:hint="eastAsia"/>
          <w:color w:val="0F1115"/>
        </w:rPr>
        <w:t>場上</w:t>
      </w:r>
      <w:proofErr w:type="gramEnd"/>
      <w:r>
        <w:rPr>
          <w:rFonts w:asciiTheme="minorEastAsia" w:eastAsiaTheme="minorEastAsia" w:hAnsiTheme="minorEastAsia" w:cs="細明體" w:hint="eastAsia"/>
          <w:color w:val="0F1115"/>
        </w:rPr>
        <w:t>減少</w:t>
      </w:r>
      <w:proofErr w:type="gramStart"/>
      <w:r>
        <w:rPr>
          <w:rFonts w:asciiTheme="minorEastAsia" w:eastAsiaTheme="minorEastAsia" w:hAnsiTheme="minorEastAsia" w:cs="細明體" w:hint="eastAsia"/>
          <w:color w:val="0F1115"/>
        </w:rPr>
        <w:t>一名場員比賽</w:t>
      </w:r>
      <w:proofErr w:type="gramEnd"/>
      <w:r>
        <w:rPr>
          <w:rFonts w:asciiTheme="minorEastAsia" w:eastAsiaTheme="minorEastAsia" w:hAnsiTheme="minorEastAsia" w:cs="細明體" w:hint="eastAsia"/>
          <w:color w:val="0F1115"/>
        </w:rPr>
        <w:t>。個人處罰可在任何其他適用的判罰之外另行判處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。</w:t>
      </w:r>
    </w:p>
    <w:p w14:paraId="57228C3A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b. </w:t>
      </w:r>
      <w:r>
        <w:rPr>
          <w:rFonts w:asciiTheme="minorEastAsia" w:eastAsiaTheme="minorEastAsia" w:hAnsiTheme="minorEastAsia" w:cs="細明體" w:hint="eastAsia"/>
          <w:color w:val="0F1115"/>
        </w:rPr>
        <w:t>被暫時停賽的球員必須留在指定區域，直到執法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裁判允許其重新進入比賽。</w:t>
      </w:r>
    </w:p>
    <w:p w14:paraId="636A7452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ind w:left="283" w:hangingChars="118" w:hanging="283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c.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被暫時停賽的球員允許在比賽間歇（如中場休息）時與球隊會合，之後必須返回指定位置完成其剩餘的停賽時間。</w:t>
      </w:r>
    </w:p>
    <w:p w14:paraId="05FD532C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d.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若球員在停賽期間行為不當，其暫時停賽的預定時間可能會被延長。</w:t>
      </w:r>
    </w:p>
    <w:p w14:paraId="626C693E" w14:textId="77777777" w:rsidR="0013644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細明體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e. 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被</w:t>
      </w:r>
      <w:r>
        <w:rPr>
          <w:rFonts w:asciiTheme="minorEastAsia" w:eastAsiaTheme="minorEastAsia" w:hAnsiTheme="minorEastAsia" w:cs="細明體" w:hint="eastAsia"/>
          <w:color w:val="0F1115"/>
        </w:rPr>
        <w:t>驅逐離場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的球員必須離開比賽場地及其周邊區域。</w:t>
      </w:r>
    </w:p>
    <w:p w14:paraId="740E5A71" w14:textId="77777777" w:rsidR="00136444" w:rsidRPr="00F76674" w:rsidRDefault="00136444" w:rsidP="00136444">
      <w:pPr>
        <w:pStyle w:val="ds-markdown-paragraph"/>
        <w:shd w:val="clear" w:color="auto" w:fill="FFFFFF"/>
        <w:adjustRightInd w:val="0"/>
        <w:spacing w:beforeLines="50" w:before="120" w:beforeAutospacing="0" w:afterLines="50" w:after="120" w:afterAutospacing="0" w:line="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Segoe UI"/>
          <w:color w:val="0F1115"/>
        </w:rPr>
        <w:t xml:space="preserve">f. </w:t>
      </w:r>
      <w:r>
        <w:rPr>
          <w:rFonts w:asciiTheme="minorEastAsia" w:eastAsiaTheme="minorEastAsia" w:hAnsiTheme="minorEastAsia" w:cs="細明體" w:hint="eastAsia"/>
          <w:color w:val="0F1115"/>
        </w:rPr>
        <w:t>如果球員因犯規導致被判處</w:t>
      </w:r>
      <w:r w:rsidRPr="00F76674">
        <w:rPr>
          <w:rFonts w:asciiTheme="minorEastAsia" w:eastAsiaTheme="minorEastAsia" w:hAnsiTheme="minorEastAsia" w:cs="細明體" w:hint="eastAsia"/>
          <w:color w:val="0F1115"/>
        </w:rPr>
        <w:t>挑戰而受到個人處罰，該處罰的計時要到挑戰完成後才開始（不論結果如何）。</w:t>
      </w:r>
    </w:p>
    <w:p w14:paraId="65B0A8F8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Style w:val="af9"/>
          <w:rFonts w:asciiTheme="minorEastAsia" w:eastAsiaTheme="minorEastAsia" w:hAnsiTheme="minorEastAsia" w:cs="Segoe UI"/>
          <w:color w:val="0F1115"/>
        </w:rPr>
        <w:t xml:space="preserve">III. </w:t>
      </w:r>
      <w:r w:rsidRPr="00F76674">
        <w:rPr>
          <w:rStyle w:val="af9"/>
          <w:rFonts w:asciiTheme="minorEastAsia" w:eastAsiaTheme="minorEastAsia" w:hAnsiTheme="minorEastAsia" w:cs="細明體" w:hint="eastAsia"/>
          <w:color w:val="0F1115"/>
        </w:rPr>
        <w:t>安全及裝備規定</w:t>
      </w:r>
    </w:p>
    <w:p w14:paraId="454F1F1D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危險行為將不被容忍。若球員重複犯規，且被裁判認定為極度危險，該球員可能會被禁賽。</w:t>
      </w:r>
    </w:p>
    <w:p w14:paraId="07698064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所有球員必須佩戴合適的護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脛及護齒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。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短款的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足球式護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脛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不可接受。</w:t>
      </w:r>
      <w:proofErr w:type="gramStart"/>
      <w:r w:rsidRPr="00F76674">
        <w:rPr>
          <w:rFonts w:asciiTheme="minorEastAsia" w:eastAsiaTheme="minorEastAsia" w:hAnsiTheme="minorEastAsia" w:cs="細明體" w:hint="eastAsia"/>
          <w:color w:val="0F1115"/>
        </w:rPr>
        <w:t>未配戴</w:t>
      </w:r>
      <w:proofErr w:type="gramEnd"/>
      <w:r w:rsidRPr="00F76674">
        <w:rPr>
          <w:rFonts w:asciiTheme="minorEastAsia" w:eastAsiaTheme="minorEastAsia" w:hAnsiTheme="minorEastAsia" w:cs="細明體" w:hint="eastAsia"/>
          <w:color w:val="0F1115"/>
        </w:rPr>
        <w:t>此強制性裝備的球員將不被允許上場。</w:t>
      </w:r>
    </w:p>
    <w:p w14:paraId="756F4288" w14:textId="77777777" w:rsidR="00136444" w:rsidRPr="00F76674" w:rsidRDefault="00136444" w:rsidP="00136444">
      <w:pPr>
        <w:pStyle w:val="ds-markdown-paragraph"/>
        <w:shd w:val="clear" w:color="auto" w:fill="FFFFFF"/>
        <w:spacing w:before="240" w:beforeAutospacing="0" w:line="420" w:lineRule="atLeast"/>
        <w:jc w:val="both"/>
        <w:rPr>
          <w:rFonts w:asciiTheme="minorEastAsia" w:eastAsiaTheme="minorEastAsia" w:hAnsiTheme="minorEastAsia" w:cs="Segoe UI"/>
          <w:color w:val="0F1115"/>
        </w:rPr>
      </w:pPr>
      <w:r w:rsidRPr="00F76674">
        <w:rPr>
          <w:rFonts w:asciiTheme="minorEastAsia" w:eastAsiaTheme="minorEastAsia" w:hAnsiTheme="minorEastAsia" w:cs="細明體" w:hint="eastAsia"/>
          <w:color w:val="0F1115"/>
        </w:rPr>
        <w:t>雖然非強制，但建議穿著曲棍球鞋，因為與標準跑鞋相比，它能提供更佳的保護。</w:t>
      </w:r>
    </w:p>
    <w:p w14:paraId="62D52BC0" w14:textId="1212587C" w:rsidR="00EA0627" w:rsidRPr="00BF3373" w:rsidRDefault="00EA0627" w:rsidP="00136444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EA0627" w:rsidRPr="00BF3373" w:rsidSect="0000388E">
      <w:footerReference w:type="default" r:id="rId10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832B" w14:textId="77777777" w:rsidR="008F09C5" w:rsidRDefault="008F09C5" w:rsidP="00EA0627">
      <w:pPr>
        <w:spacing w:after="0" w:line="240" w:lineRule="auto"/>
      </w:pPr>
      <w:r>
        <w:separator/>
      </w:r>
    </w:p>
  </w:endnote>
  <w:endnote w:type="continuationSeparator" w:id="0">
    <w:p w14:paraId="3B63AE67" w14:textId="77777777" w:rsidR="008F09C5" w:rsidRDefault="008F09C5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16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FF407" w14:textId="561A2AC0" w:rsidR="00EA0627" w:rsidRDefault="00EA0627" w:rsidP="00CE350F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559C" w14:textId="77777777" w:rsidR="008F09C5" w:rsidRDefault="008F09C5" w:rsidP="00EA0627">
      <w:pPr>
        <w:spacing w:after="0" w:line="240" w:lineRule="auto"/>
      </w:pPr>
      <w:r>
        <w:separator/>
      </w:r>
    </w:p>
  </w:footnote>
  <w:footnote w:type="continuationSeparator" w:id="0">
    <w:p w14:paraId="017D2741" w14:textId="77777777" w:rsidR="008F09C5" w:rsidRDefault="008F09C5" w:rsidP="00EA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D49"/>
    <w:multiLevelType w:val="hybridMultilevel"/>
    <w:tmpl w:val="A532DC6C"/>
    <w:lvl w:ilvl="0" w:tplc="3C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6BB6"/>
    <w:multiLevelType w:val="hybridMultilevel"/>
    <w:tmpl w:val="0778F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27D"/>
    <w:multiLevelType w:val="hybridMultilevel"/>
    <w:tmpl w:val="33966734"/>
    <w:lvl w:ilvl="0" w:tplc="B7B0605E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328D4"/>
    <w:multiLevelType w:val="hybridMultilevel"/>
    <w:tmpl w:val="E9702548"/>
    <w:lvl w:ilvl="0" w:tplc="76C276DA">
      <w:start w:val="1"/>
      <w:numFmt w:val="decimal"/>
      <w:lvlText w:val="%1."/>
      <w:lvlJc w:val="left"/>
      <w:pPr>
        <w:ind w:left="720" w:hanging="360"/>
      </w:pPr>
      <w:rPr>
        <w:rFonts w:eastAsia="微軟正黑體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E41"/>
    <w:multiLevelType w:val="hybridMultilevel"/>
    <w:tmpl w:val="57385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3133"/>
    <w:multiLevelType w:val="multilevel"/>
    <w:tmpl w:val="482C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594206">
    <w:abstractNumId w:val="4"/>
  </w:num>
  <w:num w:numId="2" w16cid:durableId="533930246">
    <w:abstractNumId w:val="1"/>
  </w:num>
  <w:num w:numId="3" w16cid:durableId="1699819530">
    <w:abstractNumId w:val="3"/>
  </w:num>
  <w:num w:numId="4" w16cid:durableId="384569093">
    <w:abstractNumId w:val="2"/>
  </w:num>
  <w:num w:numId="5" w16cid:durableId="1044712623">
    <w:abstractNumId w:val="0"/>
  </w:num>
  <w:num w:numId="6" w16cid:durableId="1531844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021BA"/>
    <w:rsid w:val="0000388E"/>
    <w:rsid w:val="00007754"/>
    <w:rsid w:val="00020399"/>
    <w:rsid w:val="00042BB4"/>
    <w:rsid w:val="000562CD"/>
    <w:rsid w:val="000729FF"/>
    <w:rsid w:val="000B4581"/>
    <w:rsid w:val="000C259A"/>
    <w:rsid w:val="00136444"/>
    <w:rsid w:val="00146373"/>
    <w:rsid w:val="001825FA"/>
    <w:rsid w:val="00192944"/>
    <w:rsid w:val="001C0AFF"/>
    <w:rsid w:val="001C3349"/>
    <w:rsid w:val="001D3134"/>
    <w:rsid w:val="002077F8"/>
    <w:rsid w:val="002141BB"/>
    <w:rsid w:val="002236A9"/>
    <w:rsid w:val="002314BE"/>
    <w:rsid w:val="0023725E"/>
    <w:rsid w:val="00245B11"/>
    <w:rsid w:val="00261B9E"/>
    <w:rsid w:val="00263A70"/>
    <w:rsid w:val="002877BC"/>
    <w:rsid w:val="002A5204"/>
    <w:rsid w:val="002F3864"/>
    <w:rsid w:val="00312FE9"/>
    <w:rsid w:val="003545F1"/>
    <w:rsid w:val="0035719A"/>
    <w:rsid w:val="00365AC9"/>
    <w:rsid w:val="00370323"/>
    <w:rsid w:val="00374A19"/>
    <w:rsid w:val="003953DF"/>
    <w:rsid w:val="003B5C22"/>
    <w:rsid w:val="003D757C"/>
    <w:rsid w:val="003E48C0"/>
    <w:rsid w:val="00420BD4"/>
    <w:rsid w:val="004357FC"/>
    <w:rsid w:val="0048537D"/>
    <w:rsid w:val="00494C45"/>
    <w:rsid w:val="004A0945"/>
    <w:rsid w:val="004A4A1E"/>
    <w:rsid w:val="004C53EA"/>
    <w:rsid w:val="004D01B8"/>
    <w:rsid w:val="004D272E"/>
    <w:rsid w:val="004F112E"/>
    <w:rsid w:val="00520083"/>
    <w:rsid w:val="0052194B"/>
    <w:rsid w:val="0052381D"/>
    <w:rsid w:val="00551AA2"/>
    <w:rsid w:val="005557E5"/>
    <w:rsid w:val="00571104"/>
    <w:rsid w:val="006012E1"/>
    <w:rsid w:val="0060685B"/>
    <w:rsid w:val="00613674"/>
    <w:rsid w:val="0061500C"/>
    <w:rsid w:val="00656114"/>
    <w:rsid w:val="0067568E"/>
    <w:rsid w:val="006759BC"/>
    <w:rsid w:val="006B0CDB"/>
    <w:rsid w:val="006D1D1F"/>
    <w:rsid w:val="00703681"/>
    <w:rsid w:val="00704E84"/>
    <w:rsid w:val="0072502E"/>
    <w:rsid w:val="007305E7"/>
    <w:rsid w:val="0074514C"/>
    <w:rsid w:val="0074617B"/>
    <w:rsid w:val="00752999"/>
    <w:rsid w:val="00766D6C"/>
    <w:rsid w:val="0078016B"/>
    <w:rsid w:val="00782B1B"/>
    <w:rsid w:val="0079298D"/>
    <w:rsid w:val="007B47E3"/>
    <w:rsid w:val="0080449F"/>
    <w:rsid w:val="00813390"/>
    <w:rsid w:val="008226DC"/>
    <w:rsid w:val="00830378"/>
    <w:rsid w:val="00831155"/>
    <w:rsid w:val="00861AC6"/>
    <w:rsid w:val="0089547D"/>
    <w:rsid w:val="008D5D8E"/>
    <w:rsid w:val="008F09C5"/>
    <w:rsid w:val="00936C03"/>
    <w:rsid w:val="00954D68"/>
    <w:rsid w:val="009D4E2C"/>
    <w:rsid w:val="009E52FE"/>
    <w:rsid w:val="009F6662"/>
    <w:rsid w:val="00A37869"/>
    <w:rsid w:val="00A54B0A"/>
    <w:rsid w:val="00A576FA"/>
    <w:rsid w:val="00A9697C"/>
    <w:rsid w:val="00A96A45"/>
    <w:rsid w:val="00B21732"/>
    <w:rsid w:val="00B31BE9"/>
    <w:rsid w:val="00B32C5E"/>
    <w:rsid w:val="00B370EB"/>
    <w:rsid w:val="00B65A92"/>
    <w:rsid w:val="00B75673"/>
    <w:rsid w:val="00B838D8"/>
    <w:rsid w:val="00B84F33"/>
    <w:rsid w:val="00B93293"/>
    <w:rsid w:val="00BC02CC"/>
    <w:rsid w:val="00BC3AF1"/>
    <w:rsid w:val="00BC3BFA"/>
    <w:rsid w:val="00BE4359"/>
    <w:rsid w:val="00BF3373"/>
    <w:rsid w:val="00C021E2"/>
    <w:rsid w:val="00C043F9"/>
    <w:rsid w:val="00C276EB"/>
    <w:rsid w:val="00C63F64"/>
    <w:rsid w:val="00CA12C9"/>
    <w:rsid w:val="00CA4078"/>
    <w:rsid w:val="00CD18D6"/>
    <w:rsid w:val="00CE350F"/>
    <w:rsid w:val="00CE3EF0"/>
    <w:rsid w:val="00D02B07"/>
    <w:rsid w:val="00D0712B"/>
    <w:rsid w:val="00D263C1"/>
    <w:rsid w:val="00D53817"/>
    <w:rsid w:val="00D543C7"/>
    <w:rsid w:val="00DB647E"/>
    <w:rsid w:val="00DC0E47"/>
    <w:rsid w:val="00DE05E9"/>
    <w:rsid w:val="00DE1720"/>
    <w:rsid w:val="00DE4C2B"/>
    <w:rsid w:val="00DE665B"/>
    <w:rsid w:val="00E524CB"/>
    <w:rsid w:val="00E85C0E"/>
    <w:rsid w:val="00EA0627"/>
    <w:rsid w:val="00EB280F"/>
    <w:rsid w:val="00EB28BE"/>
    <w:rsid w:val="00EC65F0"/>
    <w:rsid w:val="00ED5F80"/>
    <w:rsid w:val="00F150C5"/>
    <w:rsid w:val="00F6777E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47BD"/>
  <w15:chartTrackingRefBased/>
  <w15:docId w15:val="{8766DFD3-6820-4FC7-B122-24D00FA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27"/>
  </w:style>
  <w:style w:type="paragraph" w:styleId="1">
    <w:name w:val="heading 1"/>
    <w:basedOn w:val="a"/>
    <w:next w:val="a"/>
    <w:link w:val="10"/>
    <w:uiPriority w:val="9"/>
    <w:qFormat/>
    <w:rsid w:val="006D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6D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D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D1D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D1D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1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1D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1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1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1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1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D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C259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259A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0C259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259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C259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首 字元"/>
    <w:basedOn w:val="a0"/>
    <w:link w:val="af4"/>
    <w:uiPriority w:val="99"/>
    <w:rsid w:val="00EA0627"/>
  </w:style>
  <w:style w:type="paragraph" w:styleId="af6">
    <w:name w:val="footer"/>
    <w:basedOn w:val="a"/>
    <w:link w:val="af7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頁尾 字元"/>
    <w:basedOn w:val="a0"/>
    <w:link w:val="af6"/>
    <w:uiPriority w:val="99"/>
    <w:rsid w:val="00EA0627"/>
  </w:style>
  <w:style w:type="paragraph" w:styleId="af8">
    <w:name w:val="Revision"/>
    <w:hidden/>
    <w:uiPriority w:val="99"/>
    <w:semiHidden/>
    <w:rsid w:val="00365AC9"/>
    <w:pPr>
      <w:spacing w:after="0" w:line="240" w:lineRule="auto"/>
    </w:pPr>
  </w:style>
  <w:style w:type="paragraph" w:customStyle="1" w:styleId="ds-markdown-paragraph">
    <w:name w:val="ds-markdown-paragraph"/>
    <w:basedOn w:val="a"/>
    <w:rsid w:val="0013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TW"/>
      <w14:ligatures w14:val="none"/>
    </w:rPr>
  </w:style>
  <w:style w:type="character" w:styleId="af9">
    <w:name w:val="Strong"/>
    <w:basedOn w:val="a0"/>
    <w:uiPriority w:val="22"/>
    <w:qFormat/>
    <w:rsid w:val="00136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0863-8B00-4CA8-B634-D1F4EA2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Graham</dc:creator>
  <cp:keywords/>
  <dc:description/>
  <cp:lastModifiedBy>Jacky So</cp:lastModifiedBy>
  <cp:revision>20</cp:revision>
  <cp:lastPrinted>2025-12-05T07:52:00Z</cp:lastPrinted>
  <dcterms:created xsi:type="dcterms:W3CDTF">2025-12-03T09:00:00Z</dcterms:created>
  <dcterms:modified xsi:type="dcterms:W3CDTF">2025-12-16T08:35:00Z</dcterms:modified>
</cp:coreProperties>
</file>